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213E5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B527E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8B527E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B527E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D4653A" w:rsidRPr="00213E52" w:rsidRDefault="00D4653A" w:rsidP="00213E5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8B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8B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24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8B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января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B527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7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r w:rsidR="008B527E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Николаева Татьяна Николаевна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344000 </w:t>
      </w:r>
      <w:proofErr w:type="spellStart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094D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B527E">
        <w:rPr>
          <w:rFonts w:ascii="Times New Roman" w:eastAsia="Times New Roman" w:hAnsi="Times New Roman" w:cs="Times New Roman"/>
          <w:sz w:val="20"/>
          <w:szCs w:val="20"/>
          <w:lang w:eastAsia="ru-RU"/>
        </w:rPr>
        <w:t>338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D3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5660D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253BB2">
        <w:rPr>
          <w:rFonts w:ascii="Times New Roman" w:hAnsi="Times New Roman" w:cs="Times New Roman"/>
          <w:bCs/>
          <w:sz w:val="20"/>
          <w:szCs w:val="20"/>
        </w:rPr>
        <w:t>бумаги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</w:t>
      </w:r>
      <w:r w:rsidR="008B527E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17.12.14.119; к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од О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ВЭД2</w:t>
      </w:r>
      <w:r w:rsidR="008B527E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: 17.12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660D" w:rsidRPr="00A5660D" w:rsidRDefault="00A5660D" w:rsidP="00A566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A5660D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A5660D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111DCD" w:rsidP="00A566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Срок поставки: со дня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подписания </w:t>
      </w:r>
      <w:r>
        <w:rPr>
          <w:rFonts w:ascii="Times New Roman" w:hAnsi="Times New Roman" w:cs="Times New Roman"/>
          <w:bCs/>
          <w:sz w:val="20"/>
          <w:szCs w:val="20"/>
        </w:rPr>
        <w:t>Д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оговора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8B527E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8B527E">
        <w:rPr>
          <w:rFonts w:ascii="Times New Roman" w:hAnsi="Times New Roman" w:cs="Times New Roman"/>
          <w:b/>
          <w:bCs/>
          <w:sz w:val="20"/>
          <w:szCs w:val="20"/>
        </w:rPr>
        <w:t>февраля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B527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5C10F3" w:rsidRDefault="00D4653A" w:rsidP="005C10F3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</w:t>
      </w:r>
      <w:r w:rsidR="008B527E">
        <w:rPr>
          <w:rFonts w:ascii="Times New Roman" w:hAnsi="Times New Roman" w:cs="Times New Roman"/>
          <w:sz w:val="20"/>
          <w:szCs w:val="20"/>
        </w:rPr>
        <w:t xml:space="preserve">№ 1 </w:t>
      </w:r>
      <w:r w:rsidR="005C10F3" w:rsidRPr="005C10F3">
        <w:rPr>
          <w:rFonts w:ascii="Times New Roman" w:hAnsi="Times New Roman" w:cs="Times New Roman"/>
          <w:sz w:val="20"/>
          <w:szCs w:val="20"/>
        </w:rPr>
        <w:t>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213E52" w:rsidRDefault="00D4653A" w:rsidP="00213E52">
      <w:pPr>
        <w:tabs>
          <w:tab w:val="left" w:pos="11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10F3" w:rsidRPr="005C10F3" w:rsidRDefault="00D4653A" w:rsidP="005C10F3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307214">
      <w:pPr>
        <w:tabs>
          <w:tab w:val="left" w:pos="567"/>
          <w:tab w:val="left" w:pos="720"/>
          <w:tab w:val="left" w:pos="993"/>
        </w:tabs>
        <w:spacing w:after="120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10601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0"/>
        <w:gridCol w:w="3221"/>
        <w:gridCol w:w="3220"/>
      </w:tblGrid>
      <w:tr w:rsidR="008B527E" w:rsidRPr="008B527E" w:rsidTr="008B527E">
        <w:trPr>
          <w:trHeight w:val="449"/>
          <w:tblHeader/>
        </w:trPr>
        <w:tc>
          <w:tcPr>
            <w:tcW w:w="4160" w:type="dxa"/>
            <w:tcMar>
              <w:top w:w="200" w:type="dxa"/>
              <w:left w:w="200" w:type="dxa"/>
              <w:bottom w:w="200" w:type="dxa"/>
              <w:right w:w="100" w:type="dxa"/>
            </w:tcMar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НАИМЕНОВАНИЕ</w:t>
            </w:r>
          </w:p>
          <w:p w:rsidR="008B527E" w:rsidRPr="008B527E" w:rsidRDefault="008B527E" w:rsidP="008B527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ХАРАКТЕРИСТИКИ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100" w:type="dxa"/>
            </w:tcMar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ЗНАЧЕНИЕ</w:t>
            </w:r>
          </w:p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ХАРАКТЕРИСТИКИ</w:t>
            </w:r>
          </w:p>
        </w:tc>
        <w:tc>
          <w:tcPr>
            <w:tcW w:w="3220" w:type="dxa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ЕДИНИЦА ИЗМЕР</w:t>
            </w: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Е</w:t>
            </w: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НИЯ ХАРАКТЕР</w:t>
            </w: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И</w:t>
            </w:r>
            <w:r w:rsidRPr="008B527E">
              <w:rPr>
                <w:rFonts w:ascii="Times New Roman" w:hAnsi="Times New Roman" w:cs="Times New Roman"/>
                <w:caps/>
                <w:color w:val="000000" w:themeColor="text1"/>
                <w:spacing w:val="24"/>
                <w:sz w:val="20"/>
                <w:szCs w:val="20"/>
              </w:rPr>
              <w:t>СТИКИ</w:t>
            </w:r>
          </w:p>
        </w:tc>
      </w:tr>
      <w:tr w:rsidR="008B527E" w:rsidRPr="008B527E" w:rsidTr="008B527E">
        <w:trPr>
          <w:trHeight w:val="23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листов в пачке, не менее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1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Штука</w:t>
            </w:r>
          </w:p>
        </w:tc>
      </w:tr>
      <w:tr w:rsidR="008B527E" w:rsidRPr="008B527E" w:rsidTr="008B527E">
        <w:trPr>
          <w:trHeight w:val="213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Марка бумаги, не ниже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527E" w:rsidRPr="008B527E" w:rsidTr="008B527E">
        <w:trPr>
          <w:trHeight w:val="20"/>
        </w:trPr>
        <w:tc>
          <w:tcPr>
            <w:tcW w:w="4160" w:type="dxa"/>
            <w:tcMar>
              <w:top w:w="200" w:type="dxa"/>
              <w:left w:w="200" w:type="dxa"/>
              <w:bottom w:w="200" w:type="dxa"/>
              <w:right w:w="100" w:type="dxa"/>
            </w:tcMar>
            <w:hideMark/>
          </w:tcPr>
          <w:p w:rsidR="008B527E" w:rsidRPr="008B527E" w:rsidRDefault="008B527E" w:rsidP="008B527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Формат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A4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527E" w:rsidRPr="008B527E" w:rsidTr="008B527E">
        <w:trPr>
          <w:trHeight w:val="213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sz w:val="20"/>
                <w:szCs w:val="20"/>
              </w:rPr>
              <w:t>Масса бумаги площадью, не менее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1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г/кв</w:t>
            </w:r>
            <w:proofErr w:type="gramStart"/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</w:tr>
      <w:tr w:rsidR="008B527E" w:rsidRPr="008B527E" w:rsidTr="008B527E">
        <w:trPr>
          <w:trHeight w:val="154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sz w:val="20"/>
                <w:szCs w:val="20"/>
              </w:rPr>
              <w:t xml:space="preserve">Белизна бумаги </w:t>
            </w:r>
            <w:proofErr w:type="gramStart"/>
            <w:r w:rsidRPr="008B527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527E">
              <w:rPr>
                <w:rFonts w:ascii="Times New Roman" w:hAnsi="Times New Roman" w:cs="Times New Roman"/>
                <w:sz w:val="20"/>
                <w:szCs w:val="20"/>
              </w:rPr>
              <w:t xml:space="preserve">IE, не хуже 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1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8B527E" w:rsidRPr="008B527E" w:rsidTr="008B527E">
        <w:trPr>
          <w:trHeight w:val="217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sz w:val="20"/>
                <w:szCs w:val="20"/>
              </w:rPr>
              <w:t>Шероховатость, не более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1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мл/мин</w:t>
            </w:r>
          </w:p>
        </w:tc>
      </w:tr>
      <w:tr w:rsidR="008B527E" w:rsidRPr="008B527E" w:rsidTr="008B527E">
        <w:trPr>
          <w:trHeight w:val="20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пачек (объем поставки)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B527E" w:rsidRPr="008B527E" w:rsidRDefault="001B7C79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1441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Пачка</w:t>
            </w:r>
          </w:p>
        </w:tc>
      </w:tr>
      <w:tr w:rsidR="008B527E" w:rsidRPr="008B527E" w:rsidTr="008B527E">
        <w:trPr>
          <w:trHeight w:val="236"/>
        </w:trPr>
        <w:tc>
          <w:tcPr>
            <w:tcW w:w="416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ind w:left="2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Упаковка пачек бумаги в коробки, не более</w:t>
            </w:r>
          </w:p>
        </w:tc>
        <w:tc>
          <w:tcPr>
            <w:tcW w:w="3221" w:type="dxa"/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20" w:type="dxa"/>
            <w:vAlign w:val="center"/>
            <w:hideMark/>
          </w:tcPr>
          <w:p w:rsidR="008B527E" w:rsidRPr="008B527E" w:rsidRDefault="008B527E" w:rsidP="008B5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2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пачек в 1 коробку</w:t>
            </w:r>
          </w:p>
        </w:tc>
      </w:tr>
    </w:tbl>
    <w:p w:rsidR="001B7C79" w:rsidRDefault="001B7C79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01FB3" w:rsidRPr="00E01FB3" w:rsidRDefault="00E01FB3" w:rsidP="00E01FB3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 xml:space="preserve">6.2. </w:t>
      </w:r>
      <w:r w:rsidRPr="00E01FB3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товары должны быть новыми, не использованными;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не</w:t>
      </w:r>
      <w:r w:rsidR="00866994">
        <w:rPr>
          <w:rFonts w:ascii="Times New Roman" w:hAnsi="Times New Roman" w:cs="Times New Roman"/>
          <w:sz w:val="20"/>
          <w:szCs w:val="20"/>
        </w:rPr>
        <w:t xml:space="preserve"> </w:t>
      </w:r>
      <w:r w:rsidRPr="00E01FB3">
        <w:rPr>
          <w:rFonts w:ascii="Times New Roman" w:hAnsi="Times New Roman" w:cs="Times New Roman"/>
          <w:sz w:val="20"/>
          <w:szCs w:val="20"/>
        </w:rPr>
        <w:t xml:space="preserve">должно быть полиграфических браков, разводов, он должен поставляться в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упаковке</w:t>
      </w:r>
      <w:proofErr w:type="gramEnd"/>
      <w:r w:rsidRPr="00E01FB3">
        <w:rPr>
          <w:rFonts w:ascii="Times New Roman" w:hAnsi="Times New Roman" w:cs="Times New Roman"/>
          <w:sz w:val="20"/>
          <w:szCs w:val="20"/>
        </w:rPr>
        <w:t xml:space="preserve"> за</w:t>
      </w:r>
      <w:r w:rsidR="00866994">
        <w:rPr>
          <w:rFonts w:ascii="Times New Roman" w:hAnsi="Times New Roman" w:cs="Times New Roman"/>
          <w:sz w:val="20"/>
          <w:szCs w:val="20"/>
        </w:rPr>
        <w:t>щищающей</w:t>
      </w:r>
      <w:r w:rsidRPr="00E01FB3">
        <w:rPr>
          <w:rFonts w:ascii="Times New Roman" w:hAnsi="Times New Roman" w:cs="Times New Roman"/>
          <w:sz w:val="20"/>
          <w:szCs w:val="20"/>
        </w:rPr>
        <w:t xml:space="preserve"> от нам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>кания и порчи товара;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гарантия качества товара должно соответствовать установленным для данного вида продукции нормам и треб</w:t>
      </w:r>
      <w:r w:rsidRPr="00E01FB3">
        <w:rPr>
          <w:rFonts w:ascii="Times New Roman" w:hAnsi="Times New Roman" w:cs="Times New Roman"/>
          <w:sz w:val="20"/>
          <w:szCs w:val="20"/>
        </w:rPr>
        <w:t>о</w:t>
      </w:r>
      <w:r w:rsidRPr="00E01FB3">
        <w:rPr>
          <w:rFonts w:ascii="Times New Roman" w:hAnsi="Times New Roman" w:cs="Times New Roman"/>
          <w:sz w:val="20"/>
          <w:szCs w:val="20"/>
        </w:rPr>
        <w:t xml:space="preserve">ваниям Государственных стандартов (ГОСТ </w:t>
      </w:r>
      <w:proofErr w:type="gramStart"/>
      <w:r w:rsidRPr="00E01FB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8B527E">
        <w:rPr>
          <w:rFonts w:ascii="Times New Roman" w:hAnsi="Times New Roman" w:cs="Times New Roman"/>
          <w:sz w:val="20"/>
          <w:szCs w:val="20"/>
        </w:rPr>
        <w:t xml:space="preserve"> 57641-2017</w:t>
      </w:r>
      <w:r w:rsidRPr="00E01FB3">
        <w:rPr>
          <w:rFonts w:ascii="Times New Roman" w:hAnsi="Times New Roman" w:cs="Times New Roman"/>
          <w:sz w:val="20"/>
          <w:szCs w:val="20"/>
        </w:rPr>
        <w:t>), Техническим условиям (ТУ) производителя и иной нормативно-технической документации и подтверждаться сертификатами соответствия (при наличии) с областью действия – на всей те</w:t>
      </w:r>
      <w:r w:rsidRPr="00E01FB3">
        <w:rPr>
          <w:rFonts w:ascii="Times New Roman" w:hAnsi="Times New Roman" w:cs="Times New Roman"/>
          <w:sz w:val="20"/>
          <w:szCs w:val="20"/>
        </w:rPr>
        <w:t>р</w:t>
      </w:r>
      <w:r w:rsidRPr="00E01FB3">
        <w:rPr>
          <w:rFonts w:ascii="Times New Roman" w:hAnsi="Times New Roman" w:cs="Times New Roman"/>
          <w:sz w:val="20"/>
          <w:szCs w:val="20"/>
        </w:rPr>
        <w:t>ритории РФ;</w:t>
      </w:r>
    </w:p>
    <w:p w:rsidR="00E01FB3" w:rsidRPr="00E01FB3" w:rsidRDefault="00E01FB3" w:rsidP="00E01FB3">
      <w:pPr>
        <w:numPr>
          <w:ilvl w:val="0"/>
          <w:numId w:val="34"/>
        </w:numPr>
        <w:tabs>
          <w:tab w:val="left" w:pos="109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sz w:val="20"/>
          <w:szCs w:val="20"/>
        </w:rPr>
        <w:t>гарантийный срок на поставляемый товар должен соответствовать гарантийному сроку завода-изготовителя, и составлять не менее 12 месяцев с момента поставки товара;</w:t>
      </w:r>
    </w:p>
    <w:p w:rsidR="00E01FB3" w:rsidRPr="00E01FB3" w:rsidRDefault="00E01FB3" w:rsidP="00E01FB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01FB3" w:rsidRPr="00E01FB3" w:rsidRDefault="00E01FB3" w:rsidP="00E01FB3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Pr="00E01FB3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Pr="00E01FB3">
        <w:rPr>
          <w:rFonts w:ascii="Times New Roman" w:hAnsi="Times New Roman" w:cs="Times New Roman"/>
          <w:sz w:val="20"/>
          <w:szCs w:val="20"/>
        </w:rPr>
        <w:t>и</w:t>
      </w:r>
      <w:r w:rsidRPr="00E01FB3">
        <w:rPr>
          <w:rFonts w:ascii="Times New Roman" w:hAnsi="Times New Roman" w:cs="Times New Roman"/>
          <w:sz w:val="20"/>
          <w:szCs w:val="20"/>
        </w:rPr>
        <w:t xml:space="preserve">емки товара на складе заказчика, должен быть заменен поставщиком на такой же товар в течение 3 (трех) дней с момента подписания двустороннего акта приемки товара. 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Все расходы, связанные с возвратом Товара ненадлежащего качества, ос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ществляются за счет Поставщика. </w:t>
      </w:r>
    </w:p>
    <w:p w:rsidR="003209DC" w:rsidRPr="00E01FB3" w:rsidRDefault="003209DC" w:rsidP="00E01F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4D1B" w:rsidRPr="00394B9F" w:rsidRDefault="00094D1B" w:rsidP="00094D1B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B9F">
        <w:rPr>
          <w:rFonts w:ascii="Times New Roman" w:hAnsi="Times New Roman" w:cs="Times New Roman"/>
          <w:b/>
          <w:bCs/>
          <w:sz w:val="20"/>
          <w:szCs w:val="20"/>
        </w:rPr>
        <w:t xml:space="preserve">Расчет начальной (максимальной) цены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договора (далее НМЦД) </w:t>
      </w:r>
      <w:r w:rsidRPr="00394B9F">
        <w:rPr>
          <w:rFonts w:ascii="Times New Roman" w:hAnsi="Times New Roman" w:cs="Times New Roman"/>
          <w:b/>
          <w:bCs/>
          <w:sz w:val="20"/>
          <w:szCs w:val="20"/>
        </w:rPr>
        <w:t>методом сопоставимых рыночных цен (анализа рынка):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eastAsia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Cambria Math" w:eastAsia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eastAsia="Times New Roman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eastAsia="Times New Roman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20"/>
              <w:szCs w:val="20"/>
            </w:rPr>
            <w:br/>
          </m:r>
        </m:oMath>
      </m:oMathPara>
      <w:r w:rsidRPr="00CB73E7">
        <w:rPr>
          <w:rFonts w:ascii="Times New Roman" w:eastAsia="Times New Roman" w:hAnsi="Times New Roman" w:cs="Times New Roman"/>
          <w:sz w:val="20"/>
          <w:szCs w:val="20"/>
        </w:rPr>
        <w:t>где: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v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n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094D1B" w:rsidRPr="00CB73E7" w:rsidRDefault="00094D1B" w:rsidP="00094D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Pr="00CB73E7">
        <w:rPr>
          <w:rFonts w:ascii="Times New Roman" w:eastAsia="Times New Roman" w:hAnsi="Times New Roman" w:cs="Times New Roman"/>
          <w:sz w:val="20"/>
          <w:szCs w:val="20"/>
        </w:rPr>
        <w:t>, скорректированная с учетом к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094D1B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73E7">
        <w:rPr>
          <w:rFonts w:ascii="Times New Roman" w:eastAsia="Times New Roman" w:hAnsi="Times New Roman" w:cs="Times New Roman"/>
          <w:sz w:val="20"/>
          <w:szCs w:val="20"/>
        </w:rPr>
        <w:t>НМЦД, указываемая Заказчиком в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настоящем извещении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rFonts w:ascii="Times New Roman" w:eastAsia="Times New Roman" w:hAnsi="Times New Roman" w:cs="Times New Roman"/>
          <w:sz w:val="20"/>
          <w:szCs w:val="20"/>
        </w:rPr>
        <w:t>рассчитанную</w:t>
      </w:r>
      <w:proofErr w:type="gramEnd"/>
      <w:r w:rsidRPr="00CB73E7">
        <w:rPr>
          <w:rFonts w:ascii="Times New Roman" w:eastAsia="Times New Roman" w:hAnsi="Times New Roman" w:cs="Times New Roman"/>
          <w:sz w:val="20"/>
          <w:szCs w:val="20"/>
        </w:rPr>
        <w:t xml:space="preserve"> по указанной в н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B73E7">
        <w:rPr>
          <w:rFonts w:ascii="Times New Roman" w:eastAsia="Times New Roman" w:hAnsi="Times New Roman" w:cs="Times New Roman"/>
          <w:sz w:val="20"/>
          <w:szCs w:val="20"/>
        </w:rPr>
        <w:t>стоящем пункте формуле.</w:t>
      </w:r>
    </w:p>
    <w:p w:rsidR="00094D1B" w:rsidRPr="00CB73E7" w:rsidRDefault="00094D1B" w:rsidP="00094D1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094D1B" w:rsidRPr="005979D3" w:rsidTr="00FF35EE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CC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33BCC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Поставщиков</w:t>
            </w: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 (далее ЦИ)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094D1B" w:rsidRPr="005979D3" w:rsidRDefault="00094D1B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 xml:space="preserve">Кол-во,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пачка</w:t>
            </w:r>
          </w:p>
        </w:tc>
      </w:tr>
      <w:tr w:rsidR="00094D1B" w:rsidRPr="005979D3" w:rsidTr="00FF35EE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D1B" w:rsidRPr="005979D3" w:rsidTr="00FF35EE">
        <w:trPr>
          <w:trHeight w:val="251"/>
          <w:jc w:val="center"/>
        </w:trPr>
        <w:tc>
          <w:tcPr>
            <w:tcW w:w="659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094D1B" w:rsidRPr="005979D3" w:rsidRDefault="00094D1B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94D1B" w:rsidRPr="005979D3" w:rsidTr="00FF35EE">
        <w:trPr>
          <w:trHeight w:val="489"/>
          <w:jc w:val="center"/>
        </w:trPr>
        <w:tc>
          <w:tcPr>
            <w:tcW w:w="659" w:type="dxa"/>
            <w:vAlign w:val="center"/>
          </w:tcPr>
          <w:p w:rsidR="00094D1B" w:rsidRPr="005979D3" w:rsidRDefault="00094D1B" w:rsidP="00094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79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094D1B" w:rsidRPr="00307214" w:rsidRDefault="00094D1B" w:rsidP="001B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="001B7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057" w:type="dxa"/>
            <w:vAlign w:val="center"/>
          </w:tcPr>
          <w:p w:rsidR="00094D1B" w:rsidRPr="005979D3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869" w:type="dxa"/>
            <w:vAlign w:val="center"/>
          </w:tcPr>
          <w:p w:rsidR="00094D1B" w:rsidRPr="005979D3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280,35</w:t>
            </w:r>
          </w:p>
        </w:tc>
        <w:tc>
          <w:tcPr>
            <w:tcW w:w="1684" w:type="dxa"/>
            <w:vAlign w:val="center"/>
          </w:tcPr>
          <w:p w:rsidR="00094D1B" w:rsidRPr="005979D3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271,99</w:t>
            </w:r>
          </w:p>
        </w:tc>
        <w:tc>
          <w:tcPr>
            <w:tcW w:w="1195" w:type="dxa"/>
            <w:vAlign w:val="center"/>
          </w:tcPr>
          <w:p w:rsidR="00094D1B" w:rsidRPr="005979D3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</w:t>
            </w:r>
          </w:p>
        </w:tc>
      </w:tr>
    </w:tbl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14"/>
        </w:rPr>
      </w:pPr>
    </w:p>
    <w:p w:rsidR="00094D1B" w:rsidRPr="00394B9F" w:rsidRDefault="00094D1B" w:rsidP="00094D1B">
      <w:pPr>
        <w:rPr>
          <w:rFonts w:ascii="Times New Roman" w:hAnsi="Times New Roman" w:cs="Times New Roman"/>
          <w:sz w:val="20"/>
        </w:rPr>
      </w:pPr>
      <w:r w:rsidRPr="00394B9F">
        <w:rPr>
          <w:rFonts w:ascii="Times New Roman" w:hAnsi="Times New Roman" w:cs="Times New Roman"/>
          <w:sz w:val="20"/>
        </w:rPr>
        <w:t>Расчет</w:t>
      </w:r>
    </w:p>
    <w:p w:rsidR="00094D1B" w:rsidRPr="00394B9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20"/>
        </w:rPr>
      </w:pPr>
      <w:r w:rsidRPr="00394B9F">
        <w:rPr>
          <w:rFonts w:ascii="Times New Roman" w:hAnsi="Times New Roman" w:cs="Times New Roman"/>
          <w:sz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1441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</w:rPr>
                  <m:t>280,00+280,35+271,99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399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805,45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 xml:space="preserve"> </m:t>
            </m:r>
            <m:r>
              <m:rPr>
                <m:sty m:val="p"/>
              </m:rPr>
              <w:rPr>
                <w:rFonts w:ascii="Times New Roman" w:hAnsi="Times New Roman" w:cs="Times New Roman"/>
                <w:sz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</w:rPr>
              <m:t>.</m:t>
            </m:r>
          </m:e>
        </m:nary>
      </m:oMath>
    </w:p>
    <w:p w:rsidR="00094D1B" w:rsidRPr="004F1FFF" w:rsidRDefault="00094D1B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94"/>
        <w:gridCol w:w="2977"/>
      </w:tblGrid>
      <w:tr w:rsidR="00FF35EE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Кол-во, ед. изм.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FF35EE" w:rsidRPr="00307214" w:rsidTr="00FF35E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1B7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sz w:val="20"/>
                <w:szCs w:val="20"/>
              </w:rPr>
              <w:t>Бумага формата А</w:t>
            </w:r>
            <w:proofErr w:type="gramStart"/>
            <w:r w:rsidR="001B7C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1B7C79" w:rsidP="00FF35EE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1441</w:t>
            </w:r>
            <w:r w:rsidR="00FF35EE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FF35EE"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пач</w:t>
            </w:r>
            <w:proofErr w:type="spellEnd"/>
            <w:r w:rsidR="00FF35EE" w:rsidRPr="00307214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1B7C79" w:rsidP="00FF35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399 805,45</w:t>
            </w:r>
          </w:p>
        </w:tc>
      </w:tr>
      <w:tr w:rsidR="00FF35EE" w:rsidRPr="00307214" w:rsidTr="00FF35EE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FF35EE" w:rsidP="00FF35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7214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5EE" w:rsidRPr="00307214" w:rsidRDefault="001B7C79" w:rsidP="004F1F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399 805,45</w:t>
            </w:r>
          </w:p>
        </w:tc>
      </w:tr>
    </w:tbl>
    <w:p w:rsidR="00FF35EE" w:rsidRDefault="00FF35EE" w:rsidP="00094D1B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4D1B" w:rsidRPr="00094D1B" w:rsidRDefault="00094D1B" w:rsidP="004F1FFF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/>
          <w:sz w:val="20"/>
        </w:rPr>
      </w:pPr>
      <w:r w:rsidRPr="00B41BE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734F95">
        <w:rPr>
          <w:rFonts w:ascii="Times New Roman" w:hAnsi="Times New Roman"/>
          <w:b/>
          <w:color w:val="FF0000"/>
          <w:sz w:val="20"/>
        </w:rPr>
        <w:t>399 805,45</w:t>
      </w:r>
      <w:r w:rsidRPr="003209DC">
        <w:rPr>
          <w:rFonts w:ascii="Times New Roman" w:hAnsi="Times New Roman"/>
          <w:b/>
          <w:color w:val="FF0000"/>
          <w:sz w:val="20"/>
        </w:rPr>
        <w:t xml:space="preserve"> рубл</w:t>
      </w:r>
      <w:r>
        <w:rPr>
          <w:rFonts w:ascii="Times New Roman" w:hAnsi="Times New Roman"/>
          <w:b/>
          <w:color w:val="FF0000"/>
          <w:sz w:val="20"/>
        </w:rPr>
        <w:t>ей</w:t>
      </w:r>
      <w:r w:rsidRPr="003209DC">
        <w:rPr>
          <w:rFonts w:ascii="Times New Roman" w:hAnsi="Times New Roman"/>
          <w:sz w:val="20"/>
        </w:rPr>
        <w:t xml:space="preserve"> (</w:t>
      </w:r>
      <w:r w:rsidR="00734F95">
        <w:rPr>
          <w:rFonts w:ascii="Times New Roman" w:hAnsi="Times New Roman"/>
          <w:sz w:val="20"/>
        </w:rPr>
        <w:t>триста девяносто девять</w:t>
      </w:r>
      <w:r>
        <w:rPr>
          <w:rFonts w:ascii="Times New Roman" w:hAnsi="Times New Roman"/>
          <w:sz w:val="20"/>
        </w:rPr>
        <w:t xml:space="preserve"> тысяч </w:t>
      </w:r>
      <w:r w:rsidR="00734F95">
        <w:rPr>
          <w:rFonts w:ascii="Times New Roman" w:hAnsi="Times New Roman"/>
          <w:sz w:val="20"/>
        </w:rPr>
        <w:t xml:space="preserve">восемьсот пять </w:t>
      </w:r>
      <w:r>
        <w:rPr>
          <w:rFonts w:ascii="Times New Roman" w:hAnsi="Times New Roman"/>
          <w:sz w:val="20"/>
        </w:rPr>
        <w:t>рублей 4</w:t>
      </w:r>
      <w:r w:rsidR="00734F95">
        <w:rPr>
          <w:rFonts w:ascii="Times New Roman" w:hAnsi="Times New Roman"/>
          <w:sz w:val="20"/>
        </w:rPr>
        <w:t>5</w:t>
      </w:r>
      <w:r w:rsidRPr="003209DC">
        <w:rPr>
          <w:rFonts w:ascii="Times New Roman" w:hAnsi="Times New Roman"/>
          <w:sz w:val="20"/>
        </w:rPr>
        <w:t xml:space="preserve"> к</w:t>
      </w:r>
      <w:r w:rsidRPr="003209DC">
        <w:rPr>
          <w:rFonts w:ascii="Times New Roman" w:hAnsi="Times New Roman"/>
          <w:sz w:val="20"/>
        </w:rPr>
        <w:t>о</w:t>
      </w:r>
      <w:r w:rsidRPr="003209DC">
        <w:rPr>
          <w:rFonts w:ascii="Times New Roman" w:hAnsi="Times New Roman"/>
          <w:sz w:val="20"/>
        </w:rPr>
        <w:t>пе</w:t>
      </w:r>
      <w:r w:rsidR="00734F95">
        <w:rPr>
          <w:rFonts w:ascii="Times New Roman" w:hAnsi="Times New Roman"/>
          <w:sz w:val="20"/>
        </w:rPr>
        <w:t>е</w:t>
      </w:r>
      <w:r w:rsidRPr="003209DC">
        <w:rPr>
          <w:rFonts w:ascii="Times New Roman" w:hAnsi="Times New Roman"/>
          <w:sz w:val="20"/>
        </w:rPr>
        <w:t>к).</w:t>
      </w:r>
    </w:p>
    <w:p w:rsidR="00A33BCC" w:rsidRDefault="00A33BCC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F95" w:rsidRPr="00B41BEA" w:rsidRDefault="00734F95" w:rsidP="00B41BE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Pr="00B90E04" w:rsidRDefault="00A35D3D" w:rsidP="00B90E0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lastRenderedPageBreak/>
        <w:t>8.Порядок формирования цены договора:</w:t>
      </w:r>
    </w:p>
    <w:p w:rsidR="00B90E04" w:rsidRPr="00B46B9F" w:rsidRDefault="00A35D3D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90E04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90E04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90E04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90E04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B90E04" w:rsidRDefault="00B90E04" w:rsidP="00B90E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0E04" w:rsidRPr="00B90E04" w:rsidRDefault="00B90E04" w:rsidP="00B90E04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90E04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4F1FFF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4F1FFF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 xml:space="preserve">) </w:t>
      </w:r>
      <w:r w:rsidR="004F1FFF">
        <w:rPr>
          <w:rFonts w:ascii="Times New Roman" w:hAnsi="Times New Roman" w:cs="Times New Roman"/>
          <w:sz w:val="20"/>
          <w:szCs w:val="20"/>
        </w:rPr>
        <w:t>рабочих</w:t>
      </w:r>
      <w:r w:rsidRPr="00B90E04">
        <w:rPr>
          <w:rFonts w:ascii="Times New Roman" w:hAnsi="Times New Roman" w:cs="Times New Roman"/>
          <w:sz w:val="20"/>
          <w:szCs w:val="20"/>
        </w:rPr>
        <w:t xml:space="preserve"> дней с момента поставки товара.</w:t>
      </w:r>
    </w:p>
    <w:p w:rsidR="00B90E04" w:rsidRPr="00B90E04" w:rsidRDefault="00B90E04" w:rsidP="00B90E04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90E04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212E88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A35D3D" w:rsidRPr="00A35D3D" w:rsidRDefault="00A35D3D" w:rsidP="00B90E0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4653A" w:rsidRPr="00213E52" w:rsidRDefault="00D4653A" w:rsidP="00213E52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213E52">
      <w:pPr>
        <w:tabs>
          <w:tab w:val="left" w:pos="540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213E52">
      <w:pPr>
        <w:numPr>
          <w:ilvl w:val="1"/>
          <w:numId w:val="11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213E5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213E52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213E52" w:rsidRDefault="00D4653A" w:rsidP="00213E5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4F1FFF" w:rsidRPr="00213E52" w:rsidRDefault="004F1FFF" w:rsidP="004F1FFF">
      <w:pPr>
        <w:numPr>
          <w:ilvl w:val="1"/>
          <w:numId w:val="13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4F1FFF" w:rsidRPr="00213E52" w:rsidRDefault="004F1FFF" w:rsidP="004F1FFF">
      <w:pPr>
        <w:tabs>
          <w:tab w:val="left" w:pos="0"/>
          <w:tab w:val="left" w:pos="156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F1FFF" w:rsidRPr="00213E52" w:rsidRDefault="004F1FFF" w:rsidP="004F1FFF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4F1FFF" w:rsidRPr="000304B3" w:rsidRDefault="004F1FFF" w:rsidP="004F1FFF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F1FFF" w:rsidRPr="000304B3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113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торгов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0304B3">
        <w:rPr>
          <w:rFonts w:ascii="Times New Roman" w:hAnsi="Times New Roman" w:cs="Times New Roman"/>
          <w:sz w:val="20"/>
          <w:szCs w:val="20"/>
        </w:rPr>
        <w:t xml:space="preserve"> площадк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(далее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«РТС-тендер».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hyperlink r:id="rId8" w:history="1">
        <w:r w:rsidRPr="000304B3">
          <w:rPr>
            <w:rStyle w:val="aa"/>
            <w:rFonts w:ascii="Times New Roman" w:hAnsi="Times New Roman" w:cs="Times New Roman"/>
            <w:sz w:val="20"/>
            <w:szCs w:val="20"/>
          </w:rPr>
          <w:t>https://223.rts-tender.ru/</w:t>
        </w:r>
      </w:hyperlink>
    </w:p>
    <w:p w:rsidR="004F1FFF" w:rsidRPr="000304B3" w:rsidRDefault="004F1FFF" w:rsidP="004F1FFF">
      <w:pPr>
        <w:pStyle w:val="a5"/>
        <w:numPr>
          <w:ilvl w:val="1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4F1FFF" w:rsidRPr="000304B3" w:rsidRDefault="004F1FFF" w:rsidP="004F1FFF">
      <w:pPr>
        <w:tabs>
          <w:tab w:val="left" w:pos="1134"/>
        </w:tabs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4F1FFF" w:rsidRPr="000304B3" w:rsidRDefault="004F1FFF" w:rsidP="004F1FFF">
      <w:pPr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4F1FFF" w:rsidRPr="000304B3" w:rsidRDefault="004F1FFF" w:rsidP="004F1FF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34F95">
        <w:rPr>
          <w:rFonts w:ascii="Times New Roman" w:hAnsi="Times New Roman" w:cs="Times New Roman"/>
          <w:b/>
          <w:sz w:val="20"/>
          <w:szCs w:val="20"/>
        </w:rPr>
        <w:t>25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34F95">
        <w:rPr>
          <w:rFonts w:ascii="Times New Roman" w:hAnsi="Times New Roman" w:cs="Times New Roman"/>
          <w:b/>
          <w:sz w:val="20"/>
          <w:szCs w:val="20"/>
        </w:rPr>
        <w:t>января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34F95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34F95">
        <w:rPr>
          <w:rFonts w:ascii="Times New Roman" w:hAnsi="Times New Roman" w:cs="Times New Roman"/>
          <w:b/>
          <w:sz w:val="20"/>
          <w:szCs w:val="20"/>
        </w:rPr>
        <w:t>01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34F95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34F95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34F95">
        <w:rPr>
          <w:rFonts w:ascii="Times New Roman" w:hAnsi="Times New Roman" w:cs="Times New Roman"/>
          <w:b/>
          <w:sz w:val="20"/>
          <w:szCs w:val="20"/>
        </w:rPr>
        <w:t>25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34F95">
        <w:rPr>
          <w:rFonts w:ascii="Times New Roman" w:hAnsi="Times New Roman" w:cs="Times New Roman"/>
          <w:b/>
          <w:sz w:val="20"/>
          <w:szCs w:val="20"/>
        </w:rPr>
        <w:t>январ</w:t>
      </w:r>
      <w:r w:rsidRPr="000304B3">
        <w:rPr>
          <w:rFonts w:ascii="Times New Roman" w:hAnsi="Times New Roman" w:cs="Times New Roman"/>
          <w:b/>
          <w:sz w:val="20"/>
          <w:szCs w:val="20"/>
        </w:rPr>
        <w:t>я 202</w:t>
      </w:r>
      <w:r w:rsidR="00734F95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4F1FFF" w:rsidRPr="000304B3" w:rsidRDefault="004F1FFF" w:rsidP="004F1FFF">
      <w:pPr>
        <w:tabs>
          <w:tab w:val="num" w:pos="720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34F95">
        <w:rPr>
          <w:rFonts w:ascii="Times New Roman" w:hAnsi="Times New Roman" w:cs="Times New Roman"/>
          <w:b/>
          <w:sz w:val="20"/>
          <w:szCs w:val="20"/>
        </w:rPr>
        <w:t>29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34F95">
        <w:rPr>
          <w:rFonts w:ascii="Times New Roman" w:hAnsi="Times New Roman" w:cs="Times New Roman"/>
          <w:b/>
          <w:sz w:val="20"/>
          <w:szCs w:val="20"/>
        </w:rPr>
        <w:t>января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34F95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4F1FFF" w:rsidRPr="000304B3" w:rsidRDefault="004F1FFF" w:rsidP="004F1FF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</w:t>
      </w:r>
      <w:r w:rsidRPr="000304B3">
        <w:rPr>
          <w:rFonts w:ascii="Times New Roman" w:hAnsi="Times New Roman" w:cs="Times New Roman"/>
          <w:sz w:val="20"/>
          <w:szCs w:val="20"/>
        </w:rPr>
        <w:lastRenderedPageBreak/>
        <w:t xml:space="preserve">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734F95">
        <w:rPr>
          <w:rFonts w:ascii="Times New Roman" w:hAnsi="Times New Roman" w:cs="Times New Roman"/>
          <w:b/>
          <w:sz w:val="20"/>
          <w:szCs w:val="20"/>
        </w:rPr>
        <w:t>02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734F95">
        <w:rPr>
          <w:rFonts w:ascii="Times New Roman" w:hAnsi="Times New Roman" w:cs="Times New Roman"/>
          <w:b/>
          <w:sz w:val="20"/>
          <w:szCs w:val="20"/>
        </w:rPr>
        <w:t>февраля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734F95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4F1FFF" w:rsidRPr="000304B3" w:rsidRDefault="004F1FFF" w:rsidP="004F1FFF">
      <w:pPr>
        <w:numPr>
          <w:ilvl w:val="1"/>
          <w:numId w:val="1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4F1FFF" w:rsidRPr="00213E52" w:rsidRDefault="004F1FFF" w:rsidP="004F1FFF">
      <w:pPr>
        <w:tabs>
          <w:tab w:val="left" w:pos="1276"/>
          <w:tab w:val="left" w:pos="5954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4F1FFF" w:rsidRPr="00213E52" w:rsidRDefault="004F1FFF" w:rsidP="004F1FFF">
      <w:pPr>
        <w:tabs>
          <w:tab w:val="left" w:pos="1276"/>
        </w:tabs>
        <w:spacing w:after="0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0"/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4F1FFF" w:rsidRPr="00213E52" w:rsidRDefault="004F1FFF" w:rsidP="004F1FFF">
      <w:pPr>
        <w:numPr>
          <w:ilvl w:val="1"/>
          <w:numId w:val="12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numPr>
          <w:ilvl w:val="0"/>
          <w:numId w:val="1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4F1FFF" w:rsidRPr="00213E52" w:rsidRDefault="004F1FFF" w:rsidP="004F1FF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15. Приложения к извещению запроса котировок: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4F1FFF" w:rsidRPr="00213E52" w:rsidRDefault="004F1FFF" w:rsidP="004F1FFF">
      <w:pPr>
        <w:tabs>
          <w:tab w:val="left" w:pos="360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4F1FFF" w:rsidRPr="00213E52" w:rsidRDefault="004F1FFF" w:rsidP="004F1FFF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Pr="00213E52" w:rsidRDefault="004F1FFF" w:rsidP="004F1FFF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734F95" w:rsidP="009178C5">
      <w:pPr>
        <w:tabs>
          <w:tab w:val="left" w:pos="720"/>
          <w:tab w:val="left" w:pos="92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307214" w:rsidRPr="00CF164F" w:rsidRDefault="004F1FFF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экономист 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>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734F95" w:rsidRDefault="00D4653A" w:rsidP="00A35D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02-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ЗК от «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нваря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9178C5">
        <w:rPr>
          <w:rFonts w:ascii="Times New Roman" w:hAnsi="Times New Roman" w:cs="Times New Roman"/>
          <w:sz w:val="20"/>
          <w:szCs w:val="20"/>
        </w:rPr>
        <w:t xml:space="preserve">бумагу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следующем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i/>
                <w:color w:val="0000FF"/>
                <w:sz w:val="20"/>
                <w:szCs w:val="20"/>
              </w:rPr>
              <w:t>соответствие ГОСТ_________ или  ТУ №____________(указать номер)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734F95">
        <w:rPr>
          <w:rFonts w:ascii="Times New Roman" w:hAnsi="Times New Roman" w:cs="Times New Roman"/>
          <w:b/>
          <w:color w:val="FF0000"/>
          <w:sz w:val="20"/>
          <w:szCs w:val="20"/>
        </w:rPr>
        <w:t>02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734F95">
        <w:rPr>
          <w:rFonts w:ascii="Times New Roman" w:hAnsi="Times New Roman" w:cs="Times New Roman"/>
          <w:b/>
          <w:color w:val="FF0000"/>
          <w:sz w:val="20"/>
          <w:szCs w:val="20"/>
        </w:rPr>
        <w:t>24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734F95">
        <w:rPr>
          <w:rFonts w:ascii="Times New Roman" w:hAnsi="Times New Roman" w:cs="Times New Roman"/>
          <w:b/>
          <w:color w:val="FF0000"/>
          <w:sz w:val="20"/>
          <w:szCs w:val="20"/>
        </w:rPr>
        <w:t>1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734F95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FFF" w:rsidRDefault="004F1FFF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02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9178C5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нваря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34F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4F1FF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4F1FFF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369" w:rsidRDefault="00D85369" w:rsidP="003D59F3">
      <w:pPr>
        <w:spacing w:after="0" w:line="240" w:lineRule="auto"/>
      </w:pPr>
      <w:r>
        <w:separator/>
      </w:r>
    </w:p>
  </w:endnote>
  <w:endnote w:type="continuationSeparator" w:id="0">
    <w:p w:rsidR="00D85369" w:rsidRDefault="00D85369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8B527E" w:rsidRDefault="008B527E">
        <w:pPr>
          <w:pStyle w:val="a3"/>
          <w:jc w:val="right"/>
        </w:pPr>
        <w:fldSimple w:instr=" PAGE   \* MERGEFORMAT ">
          <w:r w:rsidR="00734F95">
            <w:rPr>
              <w:noProof/>
            </w:rPr>
            <w:t>1</w:t>
          </w:r>
        </w:fldSimple>
      </w:p>
    </w:sdtContent>
  </w:sdt>
  <w:p w:rsidR="008B527E" w:rsidRDefault="008B527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369" w:rsidRDefault="00D85369" w:rsidP="003D59F3">
      <w:pPr>
        <w:spacing w:after="0" w:line="240" w:lineRule="auto"/>
      </w:pPr>
      <w:r>
        <w:separator/>
      </w:r>
    </w:p>
  </w:footnote>
  <w:footnote w:type="continuationSeparator" w:id="0">
    <w:p w:rsidR="00D85369" w:rsidRDefault="00D85369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D1B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DCD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B7C79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E8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58E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1FFF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03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4F95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27E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4C3"/>
    <w:rsid w:val="008F65B6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369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3DD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5EE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8B527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AXP@br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11</Pages>
  <Words>6198</Words>
  <Characters>35331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62</cp:revision>
  <cp:lastPrinted>2019-04-03T03:40:00Z</cp:lastPrinted>
  <dcterms:created xsi:type="dcterms:W3CDTF">2014-10-02T06:08:00Z</dcterms:created>
  <dcterms:modified xsi:type="dcterms:W3CDTF">2022-01-24T03:55:00Z</dcterms:modified>
</cp:coreProperties>
</file>